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lanungsleistungen für eine Einrichtung mit mehreren Zweckbestimmungen zur Grundversorgung sowie für soziale und kulturelle Zwecke sowie von Räumen zur gemeinschaftlicher Nutz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Objektplanung mit dem Leistungsbild Gebäude/Innenräume einschließlich Freianlagenplanung soll für die Leistungsphasen 1-9 (Los1), die Fachplanung mit dem Leistungsbild Tragwerksplanung soll für die Leistungsphasen 1-6 (Los 2) und Fachplanung Technische Gebäudeausstattung soll für die Leistungsphasen 1-9 (Los3) in Anlehnung an der zurzeit gültigen HOAI erbracht werden (stufenweise Beauftragung)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